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Cartouche filtrante charbon actif pour filtres en ligne FILT&SWAP</w:t></w:r></w:p><w:p><w:pPr/><w:r><w:rPr><w:rFonts w:ascii="Calibri" w:hAnsi="Calibri" w:eastAsia="Calibri" w:cs="Calibri"/><w:sz w:val="22"/><w:szCs w:val="22"/></w:rPr><w:t xml:space="preserve">6 mois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AT50602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Cartouche de filtration au charbon actif : limite le goût, les odeurs et le chlore.</w:t></w:r></w:p><w:p><w:pPr><w:spacing w:line="288" w:lineRule="auto"/></w:pPr><w:r><w:rPr><w:rFonts w:ascii="Calibri" w:hAnsi="Calibri" w:eastAsia="Calibri" w:cs="Calibri"/><w:sz w:val="22"/><w:szCs w:val="22"/></w:rPr><w:t xml:space="preserve">Cartouche de remplacement pour filtres en ligne (réf. AT50670 et réf.AT50672)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2026-02-17T13:18:51+01:00</dcterms:created>
  <dcterms:modified xsi:type="dcterms:W3CDTF">2026-02-17T13:18:51+01:00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