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Système de chasse d’eau TEMPOFLUX 1</w:t></w:r></w:p><w:p><w:pPr/><w:r><w:rPr><w:rFonts w:ascii="Calibri" w:hAnsi="Calibri" w:eastAsia="Calibri" w:cs="Calibri"/><w:sz w:val="22"/><w:szCs w:val="22"/></w:rPr><w:t xml:space="preserve">Système chasse directe temporisée WC</w:t></w:r></w:p><w:p><w:pPr/><w:r><w:rPr><w:rFonts w:ascii="Calibri" w:hAnsi="Calibri" w:eastAsia="Calibri" w:cs="Calibri"/><w:sz w:val="22"/><w:szCs w:val="22"/></w:rPr><w:t xml:space="preserve">Apparent, douille Ø 24/25, sans robinet d'arrêt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Système de chasse d'eau sans réservoir : par connexion directe à la canalisation.</w:t></w:r></w:p><w:p><w:pPr><w:spacing w:line="288" w:lineRule="auto"/></w:pPr><w:r><w:rPr><w:rFonts w:ascii="Calibri" w:hAnsi="Calibri" w:eastAsia="Calibri" w:cs="Calibri"/><w:sz w:val="22"/><w:szCs w:val="22"/></w:rPr><w:t xml:space="preserve">Installation murale en applique.</w:t></w:r></w:p><w:p><w:pPr><w:spacing w:line="288" w:lineRule="auto"/></w:pPr><w:r><w:rPr><w:rFonts w:ascii="Calibri" w:hAnsi="Calibri" w:eastAsia="Calibri" w:cs="Calibri"/><w:sz w:val="22"/><w:szCs w:val="22"/></w:rPr><w:t xml:space="preserve">Déclenchement souple.</w:t></w:r></w:p><w:p><w:pPr><w:spacing w:line="288" w:lineRule="auto"/></w:pPr><w:r><w:rPr><w:rFonts w:ascii="Calibri" w:hAnsi="Calibri" w:eastAsia="Calibri" w:cs="Calibri"/><w:sz w:val="22"/><w:szCs w:val="22"/></w:rPr><w:t xml:space="preserve">Temporisation ~7 secondes.</w:t></w:r></w:p><w:p><w:pPr><w:spacing w:line="288" w:lineRule="auto"/></w:pPr><w:r><w:rPr><w:rFonts w:ascii="Calibri" w:hAnsi="Calibri" w:eastAsia="Calibri" w:cs="Calibri"/><w:sz w:val="22"/><w:szCs w:val="22"/></w:rPr><w:t xml:space="preserve">Protection antisiphonique.</w:t></w:r></w:p><w:p><w:pPr><w:spacing w:line="288" w:lineRule="auto"/></w:pPr><w:r><w:rPr><w:rFonts w:ascii="Calibri" w:hAnsi="Calibri" w:eastAsia="Calibri" w:cs="Calibri"/><w:sz w:val="22"/><w:szCs w:val="22"/></w:rPr><w:t xml:space="preserve">Corps et bouton en laiton massif chromé.</w:t></w:r></w:p><w:p><w:pPr><w:spacing w:line="288" w:lineRule="auto"/></w:pPr><w:r><w:rPr><w:rFonts w:ascii="Calibri" w:hAnsi="Calibri" w:eastAsia="Calibri" w:cs="Calibri"/><w:sz w:val="22"/><w:szCs w:val="22"/></w:rPr><w:t xml:space="preserve">Alimentation équerre M3/4".</w:t></w:r></w:p><w:p><w:pPr><w:spacing w:line="288" w:lineRule="auto"/></w:pPr><w:r><w:rPr><w:rFonts w:ascii="Calibri" w:hAnsi="Calibri" w:eastAsia="Calibri" w:cs="Calibri"/><w:sz w:val="22"/><w:szCs w:val="22"/></w:rPr><w:t xml:space="preserve">Avec douille Ø 25 et Ø 24 chromé (remplacement de modèles SCHELL & BINE 120000).</w:t></w:r></w:p><w:p><w:pPr><w:spacing w:line="288" w:lineRule="auto"/></w:pPr><w:r><w:rPr><w:rFonts w:ascii="Calibri" w:hAnsi="Calibri" w:eastAsia="Calibri" w:cs="Calibri"/><w:sz w:val="22"/><w:szCs w:val="22"/></w:rPr><w:t xml:space="preserve">Diamètre d’alimentation : Ø 20 mm intérieur en tout point minimum.</w:t></w:r></w:p><w:p><w:pPr><w:spacing w:line="288" w:lineRule="auto"/></w:pPr><w:r><w:rPr><w:rFonts w:ascii="Calibri" w:hAnsi="Calibri" w:eastAsia="Calibri" w:cs="Calibri"/><w:sz w:val="22"/><w:szCs w:val="22"/></w:rPr><w:t xml:space="preserve">Débit de base : 1 l/sec à 1 bar dynamique.</w:t></w:r></w:p><w:p><w:pPr><w:spacing w:line="288" w:lineRule="auto"/></w:pPr><w:r><w:rPr><w:rFonts w:ascii="Calibri" w:hAnsi="Calibri" w:eastAsia="Calibri" w:cs="Calibri"/><w:sz w:val="22"/><w:szCs w:val="22"/></w:rPr><w:t xml:space="preserve">Compatible avec l'eau de pluie.</w:t></w:r></w:p><w:p><w:pPr><w:spacing w:line="288" w:lineRule="auto"/></w:pPr><w:r><w:rPr><w:rFonts w:ascii="Calibri" w:hAnsi="Calibri" w:eastAsia="Calibri" w:cs="Calibri"/><w:sz w:val="22"/><w:szCs w:val="22"/></w:rPr><w:t xml:space="preserve">Adapté aux PMR.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2026-01-13T15:52:40+01:00</dcterms:created>
  <dcterms:modified xsi:type="dcterms:W3CDTF">2026-01-13T15:52:40+01:00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